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52" w:rsidRPr="000E2952" w:rsidRDefault="000E2952" w:rsidP="000E295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0E2952" w:rsidRPr="000E2952" w:rsidRDefault="000E2952" w:rsidP="000E295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0E2952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0E2952" w:rsidRPr="000E2952" w:rsidRDefault="000E2952" w:rsidP="000E295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0E295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196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3. stavka 6., članka 4. stavka 2., članka 7. stavka 5. i članka 16. stavka 13. Zakona o udžbenicima i drugim obrazovnim materijalima za osnovnu i srednju školu (»Narodne novine«, broj 116/2018), ministrica znanosti i obrazovanja donosi</w:t>
      </w:r>
    </w:p>
    <w:p w:rsidR="000E2952" w:rsidRPr="000E2952" w:rsidRDefault="000E2952" w:rsidP="000E295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0E295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0E2952" w:rsidRPr="000E2952" w:rsidRDefault="000E2952" w:rsidP="000E295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0E295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UDŽBENIČKOM STANDARDU TE ČLANOVIMA STRUČNIH POVJERENSTAVA ZA PROCJENU UDŽBENIKA I DRUGIH OBRAZOVNIH MATERIJALA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lang w:eastAsia="hr-HR"/>
        </w:rPr>
        <w:t>I. OPĆE ODREDBE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Ovim pravilnikom utvrđuju se znanstveni, pedagoški, psihološki, didaktičko-metodički, etički, jezični, likovno-grafički i tehnički zahtjevi kao i oblik udžbenika za pojedini razred i razinu obrazovanja, uporaba udžbenika za predmete s pretežno odgojnom komponentom te udio cijene elektroničkog dijela udžbenika u ukupnoj cijeni udžbenika koji se sastoji od tiskanog i elektroničkog dijela.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Ovim se pravilnikom propisuje i način rada, postupak te kriteriji za odabir članova stručnih povjerenstava koji utvrđuju usklađenost udžbenika s predmetnim kurikulumom, standardima i zahtjevima za izradu udžbenika propisanim ovim pravilnikom, kao i način rada, postupak i kriteriji za odabir članova povjerenstava za procjenu drugih obrazovnih materijala.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Izrazi u ovome pravilniku, a koji imaju rodno značenje, odnose se jednako na muški i ženski rod.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lang w:eastAsia="hr-HR"/>
        </w:rPr>
        <w:t>II. STANDARDI I ZAHTJEVI ZA IZRADU UDŽBENIKA</w:t>
      </w:r>
    </w:p>
    <w:p w:rsidR="000E2952" w:rsidRPr="000E2952" w:rsidRDefault="000E2952" w:rsidP="000E295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Znanstveni, pedagoški i psihološki zahtjevi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Udžbenik je temeljen na znanstvenim i općeprihvaćenim teorijama, činjenicama i tumačenjima zakonitosti pojava i procesa, na suvremenim znanstvenim spoznajama iz područja odgoja i obrazovanja, učenja i poučavanja, kao i razvoju struke.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Udžbenik je usklađen s ciljevima, načelima i odgojno-obrazovnim ishodima učenja predmetnoga kurikuluma i vezanim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kurikulumskim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dokumentima i usmjeren na stjecanje i razvijanje temeljnih kompetencija za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cjeloživotno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Udžbenik pridonosi stjecanju funkcionalnoga znanja, razvijanju učenikovih sposobnosti i vještina rješavanja problema i donošenja odluka, potiče kreativnost i inovativnost te razvoj kritičkog mišljenja 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metakognicije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Didaktičko-metodički zahtjevi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Udžbenik pridonosi razvoju kompetencija i usvajanju ishoda koji su definirani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kurikulumskim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dokumentima u određenom predmetu te omogućuje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međupredmetnu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povezanost kao i povezanosti s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Udžbenik je strukturiran u skladu sa spoznajama i metodologijom matične znanosti, suvremenim pedagoškim, psihološkim i didaktičkim spoznajama i zahtjevima metodike odgojno-obrazovnoga područja, odnosno metodike nastavnoga predmeta.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Udžbenik obuhvaća sve odgojno-obrazovne ishode predmeta određenoga razreda.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 udžbeniku su jasno istaknuti odgojno-obrazovni ishodi, kao i odgojno-obrazovna očekivanja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iz kurikuluma čijem ostvarivanju određeni sadržaji, aktivnosti ili metode pridonose.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Aktivnosti za vrednovanje kao učenje, vrednovanje za učenje i vrednovanje naučenog obuhvaćaju sve razine usvojenosti, definirane ishodima u kurikulumu te pridonose razvoju generičkih kompetencija i viših kognitivnih procesa.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(6) Udžbenik potiče primjenu metoda aktivnog učenja i raznovrsnih nastavnih strategija, upućuje na dodatne izvore za stjecanje kompetencija te potiče na proširivanje i produbljivanje znanja.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Etički zahtjevi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Udžbenik je utemeljen na suvremenim znanstvenim i obrazovnim standardima važnima za potpun i skladan razvoj osobnosti djece i mladih, prenosi informacije na objektivan, kritički i pluralistički način u skladu s kriterijima utvrđenim Ustavom Republike Hrvatske, pravom Europske unije te međunarodnim pravom, uključujući Europsku konvenciju za zaštitu ljudskih prava, Europsku socijalnu povelju i Konvenciju o pravima djeteta.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Sadržaj udžbenika je istinit, provjerljiv i objektivan te ukazuje na postignuća i posljedice znanstvenog i tehnološkog razvoja te globalizacijskih procesa, na etičku dimenziju čovjeka i njegovo moralno djelovanje.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Udžbenik promiče: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dostojanstvo ljudske osobe, emancipaciju, slobodu, ravnopravnost, pravednost, domoljublje, nacionalni identitet, društvenu jednakost, dijalog i snošljivost, rad, poštenje, mir, očuvanje prirode i čovjekova okoliša te druge demokratske vrijednosti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međukulturno razumijevanje, rasnu, nacionalnu, etničku, spolnu, rodnu, vjersku ravnopravnost pojedinaca i društvenih skupina te osvješćuje pravo na različitost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ravnopravnost spolova, na primjeren način koristeći se u jednakom omjeru ilustracijama likova obaju spolova i služeći se imenicama obaju rodova, osobito u imenovanju zvanja i zanimanja, ne narušavajući pritom komunikacijsku razinu i prirodnost hrvatskog jezika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upoznavanje i poštovanje vrijednosti nacionalnih manjina u Republici Hrvatskoj te drugih naroda i kultura u Europi i svijetu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kulturni i društveni razvoj djece i mladih pripadnika manjina u sustavu odgoja i obrazovanja.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Jezični zahtjevi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Udžbenik je pisan hrvatskim standardnim jezikom.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udžbeniku se upotrebljavaju kratice, simboli i znakovi normirani u hrvatskom standardnom jeziku te propisane mjerne jedinice i njihove kratice.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Nazivi koji se upotrebljavaju u udžbeniku, a koji nisu jezično normirani, preuzimaju se u obliku prihvaćenom u struci.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Jezik tekstova udžbenika je na svim jezičnim razinama primjeren učeniku kojemu je udžbenik namijenjen.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 udžbenike stranih jezika, kao i na udžbenike koji se upotrebljavaju u nastavi koja se odvija na stranom jeziku ili jeziku i pismu nacionalnih manjina, ne primjenjuju se odredbe stavka 1. i 2. ovoga članka.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Likovno-grafički zahtjevi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Elementi vizualnog dizajna potiču učenika na daljnje korištenje i učenje, pazeći pritom da količina i vrsta primijenjenih statičnih i multimedijalnih elemenata pridonosi razumijevanju sadržaja i ne ometa pažnju korisnika te su izrađeni prema standardima struke i primjereni razvojnoj dobi učenika kojemu su namijenjeni.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Statični (slike, grafike, ilustracije, fotografije 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sl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.) i dinamični elementi (multimedija, animacije, simulacije, audio i video zapisi, interaktivni elementi 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sl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.) kvalitetni su, jasni, sadržajno povezani, opisani nazivom i, prema potrebi, popratnim tekstom. Zvuk koji prati sadržaj je jasan, a odgovarajući zvučni zapisi kvalitetni, jezično i pravogovorno pravilni.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Multimedijski sadržaj je optimiziran za uporabu na webu (omogućavati što kraće vrijeme učitavanja), odnosno na uređaju korisnika (biti što veće kvalitete, uz najmanje moguće zauzeće diskovnog prostora).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Vizualno sučelje je strukturalno konzistentno, daje poticajni spoznajni sadržaj i pridonosi kvalitetnom korisničkom iskustvu. Korisnik se intuitivno i s lakoćom služi i ulazi u interakciju sa sadržajem, bez suvišnog proučavanja uputa ili pokušaja i pogrešaka pri izvršavanju jednostavnih akcija.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elektroničkom dijelu udžbenika u pravilu je osiguran opis slike (alternativni tekst u kodu dostupan čitaču ekrana ili zvučni opis) kako bi se olakšalo praćenje sadržaja učenicima oštećenog vida.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(6) Oblikovanje teksta i tablica u elektroničkom dijelu udžbenika u pravilu je prilagodljivo učenicima s disleksijom i drugim teškoćama – izbor fonta, slobodne desne margine, razmak između redaka, kontrasta 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sl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kao i formatiranje teksta u kraćim odlomcima kako bi se održala pažnja čitatelja.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(7) Kako bi se učenicima s teškoćama olakšala uporaba sadržaj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audiozapisa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u pravilu je vidljiv i u tekstualnom obliku (transkript), odnosno na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videomaterijalu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dostupni su titlovi.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Tehnički zahtjevi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Elektronički udžbenik u obliku elektroničke knjige predviđene za preuzimanje na uređaj korisnika, dostupan je u nekom od prihvaćenih standardnih formata, u inačicama važećima u trenutku izrade i u skladu s trenutno važećim specifikacijama za izradu sadržaja u tim formatima, kako bi se omogućila njihova uporaba na različitim platformama ili aplikacijama za čitanje elektroničkih knjiga.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Elektronički dio udžbenika kvalitetno se prikazuje na različitim uređajima, neovisno o tipu uređaja na kojem se sadržaj koristi. Tekst je vidljiv i jasan, prikladne veličine i vrste slova, boje slova i pozadine te se prilagođava korisničkom prikazu, moguće ga je označiti i pretraživati. Sadržaj je izrađen tako da se, mijenjanjem veličine zaslona, automatski prilagođava novim okvirima, bez preklapanja s drugim elementima ili prikaza sadržaja izvan okvira zaslona.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Ako se radi o web-serviranim sadržajima, sadržaji su izrađeni uz poštovanje W3C standarda koji omogućuje odgovarajuće prikazivanje u većini modernih web-preglednika zastupljenih u trenutku izrade.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Elektronički dio udžbenika u pravilu je pripremljen u HTML formatu kako bi se osigurao jednostavniji pristup sadržaju čitačima ekrana i drugim pomoćnim tehnologijama kojima se služe učenici s teškoćama.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Ako se elektronički dio udžbenika rabi komunikacijom s infrastrukturom proizvođača osiguran je siguran prijenosni kanal, a ako se koriste osobni podaci korisnika osigurava se zaštita osobnih podataka sukladno važećoj pravnoj regulativi.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Tiskani dio udžbenika izrađen je u standardnom A4 ili B5 formatu ili u rasponu navedenih formata.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Veličina slova i razmak između redaka u udžbeniku primjereni su optimalnoj čitljivosti teksta za određenu dob učenika, odnosno fazu obrazovanja.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Uvez tiskanog udžbenika je lijepljen ili šivan, kvalitetan i konzistentan tako da omogućuje višegodišnje korištenje.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(9) Udžbenici se tiskaju na mat papiru najmanje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gramature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60 g/m</w:t>
      </w:r>
      <w:r w:rsidRPr="000E2952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2</w:t>
      </w: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Oblik udžbenika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Udžbenik radnog karaktera može se upotrebljavati za Hrvatski jezik, Matematiku te Prirodu i društvo od 1. do 4. razreda osnovne škole.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Udžbenici iz stavka 1. ovog članka u svom sastavu sadrže radne materijale za ostvarenje svih predviđenih ishoda i očekivanja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za pojedini razred.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Udžbenik radnog karaktera može se upotrebljavati za strane jezike u svim razredima osnovne i srednje škole.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Udžbenik u višim razredima osnovne škole i srednjoj školi može obuhvaćati sadržaje za dvije nastavne godine.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(5) Udžbenik Matematike u predmetnoj nastavi u osnovnoj školi u svom sastavu ima dovoljno zadataka za postizanje svih predviđenih ishoda i očekivanja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za pojedini razred.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Udžbenik Hrvatskog jezika u predmetnoj nastavi u osnovnoj školi u svom sastavu ima sadržaje za jezik i književnost, integrirano u jednom ili odvojeno u dva sveska.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Uporaba udžbenika s pretežno odgojnom komponentom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nastavu Glazbene kulture odobravaju se udžbenici od 4. do 8. razreda osnovne škole.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Za nastavu Likovne kulture odobravaju se udžbenici od 5. do 8. razreda osnovne škole.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Za nastavu Tehničke kulture odobravaju se udžbenici od 5. do 8. razreda osnovne škole.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Za nastavu Tjelesne i zdravstvene kulture u svim razredima osnovnih i srednjih škola ne odobravaju se udžbenici.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lastRenderedPageBreak/>
        <w:t>Udio cijene elektroničkog dijela udžbenika kod udžbenika koji se sastoje od tiskanog i elektroničkog dijela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Elektronički dio udžbenika mora sadržavati barem jednu od sljedećih značajki: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(A) dinamičko predočavanje (zvučne zapise, animacije, video-zapise i animacije sa zvukom 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dr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.)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(B) simulaciju (virtualni pokus, simulacije s mogućnošću unosa parametara, interaktivni video 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dr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.)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(C) interakciju na relaciji učenik – učenik/nastavnik i učenik – sadržaj. Interakcija na relaciji učenik – sadržaj mora biti za vrednovanje (interaktivni kvizovi s povratnim informacijama) i učenje (didaktičke igre, interaktivne karte, elemente koji omogućavaju interakciju s fizičkom okolinom (proširena stvarnost) i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dr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.)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Cijena elektroničkog dijela udžbenika koji sadrži na didaktički i metodički svrhovit način primijenjenu jednu od navedenih značajki iz stavka 1. ovog članka može iznositi najviše 10% ukupne cijene udžbenika. Pritom značajka treba biti primijenjena konzistentno i kontinuirano kroz sve organizacijske jedinice elektroničkog dijela udžbenika.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Cijena elektroničkog dijela udžbenika koji sadrži na didaktički i metodički svrhovit način primijenjene dvije od navedenih značajki iz stavka 1. ovog članka može iznositi najviše 20% ukupne cijene udžbenika. Pritom značajke trebaju biti primijenjene konzistentno i kontinuirano kroz sve organizacijske jedinice elektroničkog dijela udžbenika.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Cijena elektroničkog dijela udžbenika koji sadrži na didaktički i metodički svrhovit način primijenjene sve tri značajke iz stavka 1. ovog članka može iznositi najviše 30% ukupne cijene udžbenika. Pritom značajke trebaju biti primijenjene konzistentno i kontinuirano kroz sve organizacijske jedinice elektroničkog dijela udžbenika.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Kategorizaciju elektroničkog dijela udžbenika iz stavka 2., 3. i 4. ovog članka utvrđuju neovisni stručnjaci koje imenuje ministar.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lang w:eastAsia="hr-HR"/>
        </w:rPr>
        <w:t>III. NAČIN RADA, POSTUPAK I KRITERIJI ODABIRA STRUČNIH POVJERENSTAVA ZA PROCJENU UDŽBENIKA</w:t>
      </w:r>
    </w:p>
    <w:p w:rsidR="000E2952" w:rsidRPr="000E2952" w:rsidRDefault="000E2952" w:rsidP="000E295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Postupak i kriteriji odabira članova stručnog povjerenstva za procjenu (prosudbu) udžbenika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12.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Članove stručnog povjerenstva za procjenu udžbenika (u daljnjem tekstu: stručno povjerenstvo) imenuje ministar na temelju javnog poziva.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Stručno povjerenstvo iz stavka 1. ovoga članka ima tri člana, a u povjerenstvu mogu biti: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metodičar, znanstvenik, odnosno stručnjak za nastavni predmet ili područje za koje je udžbenik namijenjen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učitelj ili nastavnik nastavnog predmeta određenoga obrazovnog programa s najmanje pet godina iskustva u nastavi.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 od stavka 2. ovog članka za članove stručnog povjerenstva mogu se imenovati: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za udžbenike za nastavu na jeziku i pismu nacionalnih manjina – stručnjak iz određenog područja ili nastavnog predmeta i metodičar koji poznaje jezik i pismo nacionalne manjine te učitelj ili nastavnik određenoga nastavnog predmeta na jeziku i pismu nacionalne manjine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za udžbenike za učenike s teškoćama u razvoju – znanstvenik, odnosno stručnjak edukacijsko-rehabilitacijskog profila.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Ako za to postoji potreba, u proces stručne procjene udžbenika ministar može uključiti neovisne stručnjake iz područja vizualnog dizajna, jezikoslovlja i/ili digitalne tehnologije koji pomažu u radu stručnog povjerenstva na način da daju stručno mišljenje o udžbeniku unutar svog područja.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Stručno povjerenstvo imenuje se za određeni nastavni predmet ili područje i vrstu škole.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Stručno povjerenstvo može procjenjivati više udžbenika iz istog nastavnog predmeta ili područja za koje je imenovano.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Ako za to postoji potreba, ista osoba može biti član više stručnih povjerenstava.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Sastav stručnog povjerenstva za vrijeme trajanja postupka procjene je tajan. Stručnom povjerenstvu se dodjeljuje kod koji sadrži informacije o predmetu, razini obrazovanja i rednom broju stručnog povjerenstva, a svakom članu stručnog povjerenstva broj.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Način rada stručnog povjerenstva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13.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(1) Zadaće stručnog povjerenstva su utvrđivanje usklađenosti udžbenika za osnovnu i srednju školu s odredbama Zakona o udžbenicima i drugim obrazovnim materijalima za osnovnu i srednju školu, predmetnim kurikulumom, pripadajućim </w:t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kurikulumskim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dokumentima te standardima i zahtjevima propisanim ovim pravilnikom.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Članovi stručnog povjerenstva donose pojedinačno stručno mišljenje te ga u roku od 15 dana od dana zaprimanja prijave za procjenu udžbenika dostavljaju ministarstvu nadležnom za obrazovanje (u daljnjem tekstu: ministarstvo) elektroničkim putem.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Pojedinačno stručno mišljenje iz stavka 2. ovoga članka sadrži informacije namijenjene podnositelju prijave za procjenu udžbenika (u daljnjem tekstu: podnositelj), kao i informacije namijenjene ministarstvu.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Informacije iz stavka 3. ovoga članaka namijenjene podnositelju stručno povjerenstvo putem ministarstva prosljeđuje podnositelju koji je dužan u roku od 15 dana od primitka posljednjeg pojedinačnog stručnog mišljenja ispraviti nedostatke i dostaviti udžbenik ministarstvu, s odgovorom na sve komentare svakog člana stručnog povjerenstva.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Dorađeni udžbenik s jasno navedenim izmjenama i komentare stručno povjerenstvo zajednički analizira te u roku od sedam dana od dana zaprimanja dorađenog udžbenika donosi konačno stručno mišljenje o udžbeniku s obrazloženjem koje sadrži jasne razloge donošenja takvog stručnog mišljenja.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Stručno povjerenstvo konačno stručno mišljenje donosi većinom glasova ukupnog broja članova stručnog povjerenstva.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Ako član stručnog povjerenstva iz bilo kojeg razloga ne može izvršiti stručnu procjenu udžbenika u predviđenom roku ili se utvrdi da je u sukobu interesa, ministar ga može razriješiti i u stručno povjerenstvo imenovati zamjenskog člana.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lang w:eastAsia="hr-HR"/>
        </w:rPr>
        <w:t>IV. NAČIN RADA, POSTUPAK I KRITERIJI ODABIRA POVJERENSTAVA ZA PROCJENU DRUGIH OBRAZOVNIH MATERIJALA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14.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Članove povjerenstva za procjenu drugih obrazovnih materijala (u daljnjem tekstu: povjerenstvo) imenuje ravnatelj agencije nadležne za obrazovanje.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Povjerenstvo iz stavka 1. ovoga članka čine dva stručnjaka iz tog nastavnog predmeta, odnosno nastavnog područja.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Članovi povjerenstva u pravilu su zaposlenici agencija iz sustava znanosti i obrazovanja.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Iznimno od stavka 3. ovoga članka, ako nije moguće u zakonski predviđenom roku izdati mišljenja, ravnatelj agencije nadležne za obrazovanje može u povjerenstva iz stavka 2. ovoga članka imenovati i stručnjake iz drugih ustanova u sustavu ministarstva nadležnog za obrazovanje.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Članovi povjerenstva samostalno prosuđuju drugi obrazovni materijal te na temelju samostalnih prosudbi donose zajedničko mišljenje o usklađenosti drugog obrazovnog materijala sa znanstvenim i etičkim normama te pedagošku, psihološku, didaktičku i metodičku primjerenost za uporabu u nastavi predmeta u razredu za koji je predviđen.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Ako članovi povjerenstva imaju suprotno mišljenje ravnatelj agencije nadležne za obrazovanje može zatražiti treće neovisno mišljenje.</w:t>
      </w:r>
    </w:p>
    <w:p w:rsidR="000E2952" w:rsidRPr="000E2952" w:rsidRDefault="000E2952" w:rsidP="000E29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lang w:eastAsia="hr-HR"/>
        </w:rPr>
        <w:t>V. PRIJELAZNE I ZAVRŠNE ODREDBE</w:t>
      </w:r>
    </w:p>
    <w:p w:rsidR="000E2952" w:rsidRPr="000E2952" w:rsidRDefault="000E2952" w:rsidP="000E295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15.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Danom stupanja na snagu ovoga pravilnika prestaje važiti Udžbenički standard (»Narodne novine«, broj 65/2013), Pravilnik o sastavu, imenovanju i načinu rada stručnih povjerenstava za prosudbu udžbenika i pripadajućih dopunskih nastavnih sredstava (»Narodne novine«, broj 4/2013), Pravilnik o postupku odobravanja udžbenika i pripadajućih dopunskih nastavnih sredstava s malom nakladom, za učenike s teškoćama u razvoju i za škole koje provode nastavu na stranome jeziku (»Narodne novine«, broj 104/2013), Pravilnik o obveznim udžbenicima i pripadajućim dopunskim nastavnim sredstvima (»Narodne novine«, broj 104/2013) i Pravilnik o postupku odobravanja udžbenika, dodataka udžbeniku i pripadajućih dopunskih nastavnih sredstava za nastavu na jeziku i pismu nacionalnih manjina (»Narodne novine«, broj 104/2013).</w:t>
      </w:r>
    </w:p>
    <w:p w:rsidR="000E2952" w:rsidRPr="000E2952" w:rsidRDefault="000E2952" w:rsidP="000E295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16.</w:t>
      </w:r>
    </w:p>
    <w:p w:rsidR="000E2952" w:rsidRPr="000E2952" w:rsidRDefault="000E2952" w:rsidP="000E295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:rsidR="000E2952" w:rsidRPr="000E2952" w:rsidRDefault="000E2952" w:rsidP="000E295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023-03/18-06/00055</w:t>
      </w:r>
      <w:r w:rsidRPr="000E295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533-06-19-0002</w:t>
      </w:r>
      <w:r w:rsidRPr="000E295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22. siječnja 2019.</w:t>
      </w:r>
    </w:p>
    <w:p w:rsidR="000E2952" w:rsidRPr="000E2952" w:rsidRDefault="000E2952" w:rsidP="000E2952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Ministrica</w:t>
      </w:r>
      <w:r w:rsidRPr="000E295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0E295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0E295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0E295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0E295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0E295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0E295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0E29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sectPr w:rsidR="000E2952" w:rsidRPr="000E2952" w:rsidSect="0087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952"/>
    <w:rsid w:val="000E2952"/>
    <w:rsid w:val="0087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73"/>
  </w:style>
  <w:style w:type="paragraph" w:styleId="Naslov2">
    <w:name w:val="heading 2"/>
    <w:basedOn w:val="Normal"/>
    <w:link w:val="Naslov2Char"/>
    <w:uiPriority w:val="9"/>
    <w:qFormat/>
    <w:rsid w:val="000E2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E295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E295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E2952"/>
    <w:rPr>
      <w:b/>
      <w:bCs/>
    </w:rPr>
  </w:style>
  <w:style w:type="paragraph" w:customStyle="1" w:styleId="box459554">
    <w:name w:val="box_459554"/>
    <w:basedOn w:val="Normal"/>
    <w:rsid w:val="000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E2952"/>
  </w:style>
  <w:style w:type="character" w:customStyle="1" w:styleId="left">
    <w:name w:val="left"/>
    <w:basedOn w:val="Zadanifontodlomka"/>
    <w:rsid w:val="000E2952"/>
  </w:style>
  <w:style w:type="character" w:customStyle="1" w:styleId="footertekst">
    <w:name w:val="footertekst"/>
    <w:basedOn w:val="Zadanifontodlomka"/>
    <w:rsid w:val="000E2952"/>
  </w:style>
  <w:style w:type="paragraph" w:styleId="Tekstbalonia">
    <w:name w:val="Balloon Text"/>
    <w:basedOn w:val="Normal"/>
    <w:link w:val="TekstbaloniaChar"/>
    <w:uiPriority w:val="99"/>
    <w:semiHidden/>
    <w:unhideWhenUsed/>
    <w:rsid w:val="000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7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2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3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171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31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124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57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5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002777611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4662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2022-03-11T07:08:00Z</dcterms:created>
  <dcterms:modified xsi:type="dcterms:W3CDTF">2022-03-11T07:11:00Z</dcterms:modified>
</cp:coreProperties>
</file>